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47" w:rsidRPr="004C4872" w:rsidRDefault="00B96880">
      <w:pPr>
        <w:rPr>
          <w:sz w:val="28"/>
          <w:szCs w:val="28"/>
        </w:rPr>
      </w:pPr>
      <w:r w:rsidRPr="004C4872">
        <w:rPr>
          <w:sz w:val="28"/>
          <w:szCs w:val="28"/>
        </w:rPr>
        <w:t>Umgang mit Vitamin D-Bestimmung / Verordnung in der Praxis</w:t>
      </w:r>
    </w:p>
    <w:p w:rsidR="00B96880" w:rsidRDefault="00B96880">
      <w:r>
        <w:t xml:space="preserve">Grundlage: Anweisung </w:t>
      </w:r>
      <w:proofErr w:type="spellStart"/>
      <w:r>
        <w:t>KVNo</w:t>
      </w:r>
      <w:proofErr w:type="spellEnd"/>
    </w:p>
    <w:p w:rsidR="00B96880" w:rsidRDefault="00B96880" w:rsidP="00B96880">
      <w:pPr>
        <w:pStyle w:val="Listenabsatz"/>
        <w:numPr>
          <w:ilvl w:val="0"/>
          <w:numId w:val="1"/>
        </w:numPr>
      </w:pPr>
      <w:r>
        <w:t>Laboruntersuchung nur bei Krankheitsverdacht („medizinische Notwendigkeit“)</w:t>
      </w:r>
      <w:r>
        <w:br/>
        <w:t>(Krankheitsverd</w:t>
      </w:r>
      <w:r w:rsidR="004C4872">
        <w:t xml:space="preserve">acht auf Rachitis, Osteomalazie, </w:t>
      </w:r>
      <w:proofErr w:type="spellStart"/>
      <w:r w:rsidR="004C4872">
        <w:t>Hypoparathyreoidismus</w:t>
      </w:r>
      <w:proofErr w:type="spellEnd"/>
      <w:r w:rsidR="004C4872">
        <w:t>)</w:t>
      </w:r>
    </w:p>
    <w:p w:rsidR="00B96880" w:rsidRDefault="00B96880" w:rsidP="00B96880">
      <w:pPr>
        <w:pStyle w:val="Listenabsatz"/>
        <w:numPr>
          <w:ilvl w:val="0"/>
          <w:numId w:val="1"/>
        </w:numPr>
      </w:pPr>
      <w:r>
        <w:t>Verordnung von Calcium und Vitamin D zu Lasten der gesetzlichen Krankenkasse (GKV) ist ggf. möglich bei:</w:t>
      </w:r>
      <w:r>
        <w:br/>
        <w:t>@ manifester Osteoporose (Spontanfraktur)</w:t>
      </w:r>
      <w:r>
        <w:br/>
        <w:t xml:space="preserve">@ Einnahme von Kortison (7,5mg </w:t>
      </w:r>
      <w:proofErr w:type="spellStart"/>
      <w:r>
        <w:t>Prednisolon</w:t>
      </w:r>
      <w:proofErr w:type="spellEnd"/>
      <w:r>
        <w:t xml:space="preserve"> über mindestens ½ Jahr)</w:t>
      </w:r>
      <w:r>
        <w:br/>
        <w:t xml:space="preserve">@ wenn bei </w:t>
      </w:r>
      <w:proofErr w:type="spellStart"/>
      <w:r>
        <w:t>Bisphosphonattherapie</w:t>
      </w:r>
      <w:proofErr w:type="spellEnd"/>
      <w:r>
        <w:t xml:space="preserve"> der Grund für die zwingende Einnahme im Beipackzettel erfüllt ist.</w:t>
      </w:r>
    </w:p>
    <w:p w:rsidR="00B96880" w:rsidRDefault="00B96880" w:rsidP="00B96880">
      <w:pPr>
        <w:pStyle w:val="Listenabsatz"/>
        <w:numPr>
          <w:ilvl w:val="0"/>
          <w:numId w:val="1"/>
        </w:numPr>
      </w:pPr>
      <w:r>
        <w:t>D-Derivate bei entsprechender Synthesestörung bei Nierenkranken</w:t>
      </w:r>
    </w:p>
    <w:p w:rsidR="00B96880" w:rsidRDefault="00B96880" w:rsidP="00B96880">
      <w:pPr>
        <w:pStyle w:val="Listenabsatz"/>
        <w:numPr>
          <w:ilvl w:val="0"/>
          <w:numId w:val="1"/>
        </w:numPr>
      </w:pPr>
      <w:r>
        <w:t>Säuglinge im 1. Lebensjahr ggf. zusammen mit Fluorid „bis zum 2. Sommer“</w:t>
      </w:r>
    </w:p>
    <w:p w:rsidR="004C4872" w:rsidRDefault="004C4872" w:rsidP="004C4872"/>
    <w:p w:rsidR="004C4872" w:rsidRDefault="004C4872" w:rsidP="004C4872">
      <w:r>
        <w:t>In allen anderen Fällen untersuchen wir auf Wunsch natürlich den Vitamin D-Spiegel, wenn die Patientin/der Patient Müdigkeit oder Befindlichkeitsstörungen durch erniedrigte Spiegel vermutet.</w:t>
      </w:r>
      <w:r>
        <w:br/>
        <w:t>Auch bei erniedrigten Spiegeln sind Verlaufskontrollen keine Kassenleistungen.</w:t>
      </w:r>
    </w:p>
    <w:p w:rsidR="004C4872" w:rsidRDefault="004C4872" w:rsidP="004C4872">
      <w:pPr>
        <w:spacing w:after="0" w:line="240" w:lineRule="auto"/>
      </w:pPr>
    </w:p>
    <w:p w:rsidR="004C4872" w:rsidRDefault="004C4872" w:rsidP="004C4872">
      <w:pPr>
        <w:spacing w:after="0" w:line="240" w:lineRule="auto"/>
      </w:pPr>
      <w:hyperlink r:id="rId6" w:history="1">
        <w:r w:rsidRPr="00AD2D8E">
          <w:rPr>
            <w:rStyle w:val="Hyperlink"/>
          </w:rPr>
          <w:t>https://www.kvno.de/downloads/newsletter/vin/VIN_01_2015_2.pdf</w:t>
        </w:r>
      </w:hyperlink>
    </w:p>
    <w:p w:rsidR="004C4872" w:rsidRDefault="004C4872" w:rsidP="004C4872">
      <w:pPr>
        <w:spacing w:after="0" w:line="240" w:lineRule="auto"/>
      </w:pPr>
      <w:hyperlink r:id="rId7" w:history="1">
        <w:r w:rsidRPr="00AD2D8E">
          <w:rPr>
            <w:rStyle w:val="Hyperlink"/>
          </w:rPr>
          <w:t>http://www.gesund.at/a/vitamin-d-ernaehrung</w:t>
        </w:r>
      </w:hyperlink>
    </w:p>
    <w:p w:rsidR="004C4872" w:rsidRDefault="004C4872" w:rsidP="004C4872">
      <w:pPr>
        <w:spacing w:after="0" w:line="240" w:lineRule="auto"/>
      </w:pPr>
      <w:hyperlink r:id="rId8" w:history="1">
        <w:r w:rsidRPr="00AD2D8E">
          <w:rPr>
            <w:rStyle w:val="Hyperlink"/>
          </w:rPr>
          <w:t>www.rki.de/SharedDocs/FAQ/Vitamin_D/Vitamin_D_FAQ-Liste.html</w:t>
        </w:r>
      </w:hyperlink>
    </w:p>
    <w:p w:rsidR="004C4872" w:rsidRDefault="004C4872" w:rsidP="004C4872"/>
    <w:p w:rsidR="004C4872" w:rsidRDefault="00C02531" w:rsidP="004C4872">
      <w:r>
        <w:t>SONDRLEISTUNG VITAMIN D:</w:t>
      </w:r>
      <w:bookmarkStart w:id="0" w:name="_GoBack"/>
      <w:bookmarkEnd w:id="0"/>
    </w:p>
    <w:sectPr w:rsidR="004C48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F311E"/>
    <w:multiLevelType w:val="hybridMultilevel"/>
    <w:tmpl w:val="90EACA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80"/>
    <w:rsid w:val="004C4872"/>
    <w:rsid w:val="00B11E47"/>
    <w:rsid w:val="00B96880"/>
    <w:rsid w:val="00C0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9688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C48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9688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C48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ki.de/SharedDocs/FAQ/Vitamin_D/Vitamin_D_FAQ-List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esund.at/a/vitamin-d-ernaehru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vno.de/downloads/newsletter/vin/VIN_01_2015_2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1</cp:revision>
  <dcterms:created xsi:type="dcterms:W3CDTF">2017-07-06T19:45:00Z</dcterms:created>
  <dcterms:modified xsi:type="dcterms:W3CDTF">2017-07-06T20:35:00Z</dcterms:modified>
</cp:coreProperties>
</file>