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713702689"/>
        <w:docPartObj>
          <w:docPartGallery w:val="Cover Pages"/>
          <w:docPartUnique/>
        </w:docPartObj>
      </w:sdtPr>
      <w:sdtEndPr>
        <w:rPr>
          <w:sz w:val="28"/>
          <w:szCs w:val="28"/>
        </w:rPr>
      </w:sdtEndPr>
      <w:sdtContent>
        <w:p w:rsidR="00040D6E" w:rsidRDefault="00040D6E"/>
        <w:p w:rsidR="00040D6E" w:rsidRDefault="00040D6E">
          <w:r>
            <w:rPr>
              <w:noProof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0E3978E5" wp14:editId="4DDF9433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772400" cy="10058400"/>
                    <wp:effectExtent l="0" t="0" r="0" b="0"/>
                    <wp:wrapNone/>
                    <wp:docPr id="422" name="Rechteck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772400" cy="10058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txbx>
                            <w:txbxContent>
                              <w:p w:rsidR="00040D6E" w:rsidRDefault="00040D6E">
                                <w:pP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EEECE1" w:themeColor="background2"/>
                                    <w:spacing w:val="30"/>
                                    <w:sz w:val="96"/>
                                    <w:szCs w:val="96"/>
                                    <w14:shadow w14:blurRad="25400" w14:dist="0" w14:dir="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warmMatte">
                                      <w14:bevelT w14:w="27940" w14:h="12700" w14:prst="circle"/>
                                      <w14:extrusionClr>
                                        <w14:srgbClr w14:val="000000"/>
                                      </w14:extrusionClr>
                                      <w14:contourClr>
                                        <w14:srgbClr w14:val="000000"/>
                                      </w14:contourClr>
                                    </w14:props3d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EEECE1" w:themeColor="background2"/>
                                    <w:spacing w:val="30"/>
                                    <w:sz w:val="72"/>
                                    <w:szCs w:val="72"/>
                                    <w14:shadow w14:blurRad="25400" w14:dist="0" w14:dir="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warmMatte">
                                      <w14:bevelT w14:w="27940" w14:h="12700" w14:prst="circle"/>
                                      <w14:extrusionClr>
                                        <w14:srgbClr w14:val="000000"/>
                                      </w14:extrusionClr>
                                      <w14:contourClr>
                                        <w14:srgbClr w14:val="000000"/>
                                      </w14:contourClr>
                                    </w14:props3d>
                                  </w:rPr>
                                  <w:t>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EEECE1" w:themeColor="background2"/>
                                    <w:spacing w:val="30"/>
                                    <w:sz w:val="72"/>
                                    <w:szCs w:val="72"/>
                                    <w:u w:val="single"/>
                                    <w14:shadow w14:blurRad="25400" w14:dist="0" w14:dir="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warmMatte">
                                      <w14:bevelT w14:w="27940" w14:h="12700" w14:prst="circle"/>
                                      <w14:extrusionClr>
                                        <w14:srgbClr w14:val="000000"/>
                                      </w14:extrusionClr>
                                      <w14:contourClr>
                                        <w14:srgbClr w14:val="000000"/>
                                      </w14:contourClr>
                                    </w14:props3d>
                                  </w:rPr>
                                  <w:t>xcvbnmqwertyuiopasdfghjklzxcvbnmqw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EEECE1" w:themeColor="background2"/>
                                    <w:spacing w:val="30"/>
                                    <w:sz w:val="72"/>
                                    <w:szCs w:val="72"/>
                                    <w14:shadow w14:blurRad="25400" w14:dist="0" w14:dir="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warmMatte">
                                      <w14:bevelT w14:w="27940" w14:h="12700" w14:prst="circle"/>
                                      <w14:extrusionClr>
                                        <w14:srgbClr w14:val="000000"/>
                                      </w14:extrusionClr>
                                      <w14:contourClr>
                                        <w14:srgbClr w14:val="000000"/>
                                      </w14:contourClr>
                                    </w14:props3d>
                                  </w:rPr>
                                  <w:t>ertyuiopasdfghjklzxcvbnm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  <a:scene3d>
                              <a:camera prst="orthographicFront"/>
                              <a:lightRig rig="threePt" dir="t"/>
                            </a:scene3d>
                            <a:sp3d extrusionH="57150">
                              <a:bevelT w="38100" h="38100" prst="angle"/>
                            </a:sp3d>
                          </wps:bodyPr>
                        </wps:wsp>
                      </a:graphicData>
                    </a:graphic>
                    <wp14:sizeRelH relativeFrom="page">
                      <wp14:pctWidth>100000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rect id="Rechteck 2" o:spid="_x0000_s1026" style="position:absolute;margin-left:0;margin-top:0;width:612pt;height:11in;z-index:-251657216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" o:allowincell="f" stroked="f">
                    <v:textbox>
                      <w:txbxContent>
                        <w:p w:rsidR="00040D6E" w:rsidRDefault="00040D6E">
                          <w:pP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EEECE1" w:themeColor="background2"/>
                              <w:spacing w:val="30"/>
                              <w:sz w:val="96"/>
                              <w:szCs w:val="96"/>
                              <w14:shadow w14:blurRad="25400" w14:dist="0" w14:dir="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warmMatte">
                                <w14:bevelT w14:w="27940" w14:h="12700" w14:prst="circle"/>
                                <w14:extrusionClr>
                                  <w14:srgbClr w14:val="000000"/>
                                </w14:extrusionClr>
                                <w14:contourClr>
                                  <w14:srgbClr w14:val="000000"/>
                                </w14:contourClr>
                              </w14:props3d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EEECE1" w:themeColor="background2"/>
                              <w:spacing w:val="30"/>
                              <w:sz w:val="72"/>
                              <w:szCs w:val="72"/>
                              <w14:shadow w14:blurRad="25400" w14:dist="0" w14:dir="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warmMatte">
                                <w14:bevelT w14:w="27940" w14:h="12700" w14:prst="circle"/>
                                <w14:extrusionClr>
                                  <w14:srgbClr w14:val="000000"/>
                                </w14:extrusionClr>
                                <w14:contourClr>
                                  <w14:srgbClr w14:val="000000"/>
                                </w14:contourClr>
                              </w14:props3d>
                            </w:rPr>
                            <w:t>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EEECE1" w:themeColor="background2"/>
                              <w:spacing w:val="30"/>
                              <w:sz w:val="72"/>
                              <w:szCs w:val="72"/>
                              <w:u w:val="single"/>
                              <w14:shadow w14:blurRad="25400" w14:dist="0" w14:dir="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warmMatte">
                                <w14:bevelT w14:w="27940" w14:h="12700" w14:prst="circle"/>
                                <w14:extrusionClr>
                                  <w14:srgbClr w14:val="000000"/>
                                </w14:extrusionClr>
                                <w14:contourClr>
                                  <w14:srgbClr w14:val="000000"/>
                                </w14:contourClr>
                              </w14:props3d>
                            </w:rPr>
                            <w:t>xcvbnmqwertyuiopasdfghjklzxcvbnmqw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EEECE1" w:themeColor="background2"/>
                              <w:spacing w:val="30"/>
                              <w:sz w:val="72"/>
                              <w:szCs w:val="72"/>
                              <w14:shadow w14:blurRad="25400" w14:dist="0" w14:dir="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warmMatte">
                                <w14:bevelT w14:w="27940" w14:h="12700" w14:prst="circle"/>
                                <w14:extrusionClr>
                                  <w14:srgbClr w14:val="000000"/>
                                </w14:extrusionClr>
                                <w14:contourClr>
                                  <w14:srgbClr w14:val="000000"/>
                                </w14:contourClr>
                              </w14:props3d>
                            </w:rPr>
                            <w:t>ertyuiopasdfghjklzxcvbnm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040D6E" w:rsidRDefault="00040D6E"/>
        <w:tbl>
          <w:tblPr>
            <w:tblW w:w="3506" w:type="pct"/>
            <w:jc w:val="center"/>
            <w:tblBorders>
              <w:top w:val="thinThickSmallGap" w:sz="36" w:space="0" w:color="632423" w:themeColor="accent2" w:themeShade="80"/>
              <w:left w:val="thinThickSmallGap" w:sz="36" w:space="0" w:color="632423" w:themeColor="accent2" w:themeShade="80"/>
              <w:bottom w:val="thickThinSmallGap" w:sz="36" w:space="0" w:color="632423" w:themeColor="accent2" w:themeShade="80"/>
              <w:right w:val="thickThinSmallGap" w:sz="36" w:space="0" w:color="632423" w:themeColor="accent2" w:themeShade="80"/>
            </w:tblBorders>
            <w:shd w:val="clear" w:color="auto" w:fill="FFFFFF" w:themeFill="background1"/>
            <w:tblLook w:val="04A0" w:firstRow="1" w:lastRow="0" w:firstColumn="1" w:lastColumn="0" w:noHBand="0" w:noVBand="1"/>
          </w:tblPr>
          <w:tblGrid>
            <w:gridCol w:w="6513"/>
          </w:tblGrid>
          <w:tr w:rsidR="00040D6E">
            <w:trPr>
              <w:trHeight w:val="3770"/>
              <w:jc w:val="center"/>
            </w:trPr>
            <w:tc>
              <w:tcPr>
                <w:tcW w:w="3000" w:type="pct"/>
                <w:shd w:val="clear" w:color="auto" w:fill="FFFFFF" w:themeFill="background1"/>
                <w:vAlign w:val="center"/>
              </w:tcPr>
              <w:sdt>
                <w:sdtPr>
                  <w:rPr>
                    <w:rFonts w:asciiTheme="majorHAnsi" w:eastAsiaTheme="majorEastAsia" w:hAnsiTheme="majorHAnsi" w:cstheme="majorBidi"/>
                    <w:sz w:val="40"/>
                    <w:szCs w:val="40"/>
                  </w:rPr>
                  <w:alias w:val="Titel"/>
                  <w:id w:val="13783212"/>
                  <w:placeholder>
                    <w:docPart w:val="67E2FEF585664248A38C13515FE0B683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040D6E" w:rsidRDefault="00040D6E">
                    <w:pPr>
                      <w:pStyle w:val="KeinLeerraum"/>
                      <w:jc w:val="center"/>
                      <w:rPr>
                        <w:rFonts w:asciiTheme="majorHAnsi" w:eastAsiaTheme="majorEastAsia" w:hAnsiTheme="majorHAnsi" w:cstheme="majorBidi"/>
                        <w:sz w:val="40"/>
                        <w:szCs w:val="4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0"/>
                        <w:szCs w:val="40"/>
                      </w:rPr>
                      <w:t>VADEMEKUM</w:t>
                    </w:r>
                  </w:p>
                </w:sdtContent>
              </w:sdt>
              <w:p w:rsidR="00040D6E" w:rsidRDefault="00040D6E">
                <w:pPr>
                  <w:pStyle w:val="KeinLeerraum"/>
                  <w:jc w:val="center"/>
                </w:pPr>
              </w:p>
              <w:sdt>
                <w:sdtPr>
                  <w:rPr>
                    <w:rFonts w:asciiTheme="majorHAnsi" w:eastAsiaTheme="majorEastAsia" w:hAnsiTheme="majorHAnsi" w:cstheme="majorBidi"/>
                    <w:sz w:val="32"/>
                    <w:szCs w:val="32"/>
                  </w:rPr>
                  <w:alias w:val="Untertitel"/>
                  <w:id w:val="13783219"/>
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<w:text/>
                </w:sdtPr>
                <w:sdtEndPr/>
                <w:sdtContent>
                  <w:p w:rsidR="00040D6E" w:rsidRDefault="00040D6E">
                    <w:pPr>
                      <w:pStyle w:val="KeinLeerraum"/>
                      <w:jc w:val="center"/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</w:rPr>
                      <w:t>Praxisklinik-Kleve</w:t>
                    </w:r>
                    <w:r w:rsidR="003C2944"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</w:rPr>
                      <w:t xml:space="preserve"> Manual</w:t>
                    </w:r>
                  </w:p>
                </w:sdtContent>
              </w:sdt>
              <w:p w:rsidR="00040D6E" w:rsidRDefault="00040D6E">
                <w:pPr>
                  <w:pStyle w:val="KeinLeerraum"/>
                  <w:jc w:val="center"/>
                </w:pPr>
              </w:p>
              <w:p w:rsidR="00040D6E" w:rsidRDefault="00040D6E" w:rsidP="00040D6E">
                <w:pPr>
                  <w:pStyle w:val="KeinLeerraum"/>
                </w:pPr>
              </w:p>
              <w:p w:rsidR="00040D6E" w:rsidRDefault="00040D6E">
                <w:pPr>
                  <w:pStyle w:val="KeinLeerraum"/>
                  <w:jc w:val="center"/>
                </w:pPr>
              </w:p>
            </w:tc>
          </w:tr>
        </w:tbl>
        <w:p w:rsidR="00040D6E" w:rsidRDefault="00040D6E"/>
        <w:p w:rsidR="00040D6E" w:rsidRDefault="00040D6E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489939103"/>
        <w:docPartObj>
          <w:docPartGallery w:val="Table of Contents"/>
          <w:docPartUnique/>
        </w:docPartObj>
      </w:sdtPr>
      <w:sdtEndPr/>
      <w:sdtContent>
        <w:p w:rsidR="00E94ACF" w:rsidRDefault="00E94ACF">
          <w:pPr>
            <w:pStyle w:val="Inhaltsverzeichnisberschrift"/>
          </w:pPr>
          <w:r>
            <w:t>Inhalt</w:t>
          </w:r>
        </w:p>
        <w:p w:rsidR="00D06359" w:rsidRDefault="00277771">
          <w:pPr>
            <w:rPr>
              <w:b/>
              <w:bCs/>
            </w:rPr>
          </w:pPr>
          <w:fldSimple w:instr=" TOC \o &quot;1-3&quot; \h \z \u ">
            <w:r w:rsidR="00E94ACF">
              <w:rPr>
                <w:b/>
                <w:bCs/>
                <w:noProof/>
              </w:rPr>
              <w:t>Es wurden keine Einträge für das Inhaltsverzeichnis gefunden.</w:t>
            </w:r>
          </w:fldSimple>
        </w:p>
        <w:p w:rsidR="00D06359" w:rsidRPr="003166DB" w:rsidRDefault="00D06359">
          <w:pPr>
            <w:rPr>
              <w:bCs/>
            </w:rPr>
          </w:pPr>
        </w:p>
        <w:p w:rsidR="003166DB" w:rsidRDefault="00D06359">
          <w:pPr>
            <w:rPr>
              <w:bCs/>
            </w:rPr>
          </w:pPr>
          <w:r w:rsidRPr="003166DB">
            <w:rPr>
              <w:bCs/>
            </w:rPr>
            <w:t>Themen sollten in 1 DIN A 4-Seite abgehandelt sein</w:t>
          </w:r>
          <w:r w:rsidR="003166DB" w:rsidRPr="003166DB">
            <w:rPr>
              <w:bCs/>
            </w:rPr>
            <w:br/>
          </w:r>
          <w:r w:rsidRPr="003166DB">
            <w:rPr>
              <w:bCs/>
            </w:rPr>
            <w:t>Wenn nicht S3 – Info</w:t>
          </w:r>
          <w:r w:rsidR="003166DB" w:rsidRPr="003166DB">
            <w:rPr>
              <w:bCs/>
            </w:rPr>
            <w:br/>
          </w:r>
          <w:r w:rsidRPr="003166DB">
            <w:rPr>
              <w:bCs/>
            </w:rPr>
            <w:t>Literaturangaben</w:t>
          </w:r>
          <w:r w:rsidR="003166DB" w:rsidRPr="003166DB">
            <w:rPr>
              <w:bCs/>
            </w:rPr>
            <w:br/>
            <w:t>Mögl. ICD</w:t>
          </w:r>
          <w:r w:rsidR="003166DB" w:rsidRPr="003166DB">
            <w:rPr>
              <w:bCs/>
            </w:rPr>
            <w:br/>
            <w:t>Wirtschaftlichkeit berücksichtigen</w:t>
          </w:r>
          <w:r w:rsidR="003166DB" w:rsidRPr="003166DB">
            <w:rPr>
              <w:bCs/>
            </w:rPr>
            <w:br/>
          </w:r>
          <w:r w:rsidR="003166DB" w:rsidRPr="003166DB">
            <w:rPr>
              <w:b/>
              <w:bCs/>
            </w:rPr>
            <w:t>Mittel der Wahl fett</w:t>
          </w:r>
          <w:r w:rsidR="003166DB">
            <w:rPr>
              <w:b/>
              <w:bCs/>
            </w:rPr>
            <w:br/>
          </w:r>
          <w:r w:rsidR="003166DB" w:rsidRPr="003166DB">
            <w:rPr>
              <w:b/>
              <w:i/>
              <w:sz w:val="16"/>
              <w:szCs w:val="16"/>
              <w:highlight w:val="cyan"/>
            </w:rPr>
            <w:t>privat</w:t>
          </w:r>
          <w:r w:rsidR="003166DB">
            <w:rPr>
              <w:b/>
              <w:bCs/>
            </w:rPr>
            <w:tab/>
          </w:r>
          <w:r w:rsidR="003166DB" w:rsidRPr="003166DB">
            <w:rPr>
              <w:bCs/>
            </w:rPr>
            <w:t>(in GKV nicht vorgesehen)</w:t>
          </w:r>
          <w:r w:rsidR="003166DB">
            <w:rPr>
              <w:bCs/>
            </w:rPr>
            <w:br/>
          </w:r>
          <w:r w:rsidR="003166DB" w:rsidRPr="003166DB">
            <w:rPr>
              <w:b/>
              <w:i/>
              <w:sz w:val="16"/>
              <w:szCs w:val="16"/>
              <w:highlight w:val="magenta"/>
            </w:rPr>
            <w:t>IGEL</w:t>
          </w:r>
          <w:r w:rsidR="003166DB">
            <w:rPr>
              <w:bCs/>
            </w:rPr>
            <w:tab/>
            <w:t>IGEL-Anregungen</w:t>
          </w:r>
          <w:r w:rsidR="003166DB">
            <w:rPr>
              <w:bCs/>
            </w:rPr>
            <w:br/>
          </w:r>
          <w:r w:rsidR="003166DB" w:rsidRPr="003166DB">
            <w:rPr>
              <w:b/>
              <w:bCs/>
              <w:i/>
              <w:sz w:val="16"/>
              <w:szCs w:val="16"/>
              <w:highlight w:val="green"/>
            </w:rPr>
            <w:t>grün</w:t>
          </w:r>
          <w:r w:rsidR="003166DB">
            <w:rPr>
              <w:bCs/>
            </w:rPr>
            <w:tab/>
            <w:t>grünes Rezept</w:t>
          </w:r>
        </w:p>
        <w:p w:rsidR="00D06359" w:rsidRPr="003166DB" w:rsidRDefault="003166DB">
          <w:pPr>
            <w:rPr>
              <w:bCs/>
            </w:rPr>
          </w:pPr>
          <w:r w:rsidRPr="003166DB">
            <w:rPr>
              <w:bCs/>
            </w:rPr>
            <w:br/>
          </w:r>
        </w:p>
        <w:p w:rsidR="00D06359" w:rsidRPr="003166DB" w:rsidRDefault="00D06359">
          <w:pPr>
            <w:rPr>
              <w:bCs/>
            </w:rPr>
          </w:pPr>
          <w:r w:rsidRPr="003166DB">
            <w:rPr>
              <w:bCs/>
            </w:rPr>
            <w:t>Weitere Vorschläge:</w:t>
          </w:r>
        </w:p>
        <w:p w:rsidR="00D06359" w:rsidRPr="003166DB" w:rsidRDefault="00D06359" w:rsidP="00D06359">
          <w:pPr>
            <w:pStyle w:val="Listenabsatz"/>
            <w:numPr>
              <w:ilvl w:val="0"/>
              <w:numId w:val="3"/>
            </w:numPr>
            <w:rPr>
              <w:bCs/>
            </w:rPr>
          </w:pPr>
          <w:r w:rsidRPr="003166DB">
            <w:rPr>
              <w:bCs/>
            </w:rPr>
            <w:t>Asthma</w:t>
          </w:r>
        </w:p>
        <w:p w:rsidR="00D06359" w:rsidRPr="003166DB" w:rsidRDefault="00D06359" w:rsidP="00D06359">
          <w:pPr>
            <w:pStyle w:val="Listenabsatz"/>
            <w:numPr>
              <w:ilvl w:val="0"/>
              <w:numId w:val="3"/>
            </w:numPr>
            <w:rPr>
              <w:bCs/>
            </w:rPr>
          </w:pPr>
          <w:r w:rsidRPr="003166DB">
            <w:rPr>
              <w:bCs/>
            </w:rPr>
            <w:t>COPD</w:t>
          </w:r>
        </w:p>
        <w:p w:rsidR="00D06359" w:rsidRPr="003166DB" w:rsidRDefault="00D06359" w:rsidP="00D06359">
          <w:pPr>
            <w:pStyle w:val="Listenabsatz"/>
            <w:numPr>
              <w:ilvl w:val="0"/>
              <w:numId w:val="3"/>
            </w:numPr>
            <w:rPr>
              <w:bCs/>
            </w:rPr>
          </w:pPr>
          <w:r w:rsidRPr="003166DB">
            <w:rPr>
              <w:bCs/>
            </w:rPr>
            <w:t>Diabetes mellitus Typ 2</w:t>
          </w:r>
        </w:p>
        <w:p w:rsidR="00D06359" w:rsidRDefault="00D06359" w:rsidP="00D06359">
          <w:pPr>
            <w:pStyle w:val="Listenabsatz"/>
            <w:numPr>
              <w:ilvl w:val="0"/>
              <w:numId w:val="3"/>
            </w:numPr>
            <w:rPr>
              <w:bCs/>
            </w:rPr>
          </w:pPr>
          <w:r w:rsidRPr="003166DB">
            <w:rPr>
              <w:bCs/>
            </w:rPr>
            <w:t xml:space="preserve">Analgetika bei </w:t>
          </w:r>
          <w:proofErr w:type="spellStart"/>
          <w:r w:rsidRPr="003166DB">
            <w:rPr>
              <w:bCs/>
            </w:rPr>
            <w:t>muskuloskelettären</w:t>
          </w:r>
          <w:proofErr w:type="spellEnd"/>
          <w:r w:rsidRPr="003166DB">
            <w:rPr>
              <w:bCs/>
            </w:rPr>
            <w:t xml:space="preserve"> Beschwerden</w:t>
          </w:r>
        </w:p>
        <w:p w:rsidR="003166DB" w:rsidRDefault="00E31ACC" w:rsidP="00D06359">
          <w:pPr>
            <w:pStyle w:val="Listenabsatz"/>
            <w:numPr>
              <w:ilvl w:val="0"/>
              <w:numId w:val="3"/>
            </w:numPr>
            <w:rPr>
              <w:bCs/>
            </w:rPr>
          </w:pPr>
          <w:r>
            <w:rPr>
              <w:bCs/>
            </w:rPr>
            <w:t>Hörsturz</w:t>
          </w:r>
        </w:p>
        <w:p w:rsidR="003166DB" w:rsidRDefault="00E31ACC" w:rsidP="00D06359">
          <w:pPr>
            <w:pStyle w:val="Listenabsatz"/>
            <w:numPr>
              <w:ilvl w:val="0"/>
              <w:numId w:val="3"/>
            </w:numPr>
            <w:rPr>
              <w:bCs/>
            </w:rPr>
          </w:pPr>
          <w:r>
            <w:rPr>
              <w:bCs/>
            </w:rPr>
            <w:t>Depression (Fragebogen)</w:t>
          </w:r>
        </w:p>
        <w:p w:rsidR="003166DB" w:rsidRPr="003166DB" w:rsidRDefault="003166DB" w:rsidP="00D06359">
          <w:pPr>
            <w:pStyle w:val="Listenabsatz"/>
            <w:numPr>
              <w:ilvl w:val="0"/>
              <w:numId w:val="3"/>
            </w:numPr>
            <w:rPr>
              <w:bCs/>
            </w:rPr>
          </w:pPr>
          <w:r>
            <w:rPr>
              <w:bCs/>
            </w:rPr>
            <w:t>____________</w:t>
          </w:r>
        </w:p>
        <w:p w:rsidR="00D06359" w:rsidRPr="003166DB" w:rsidRDefault="00D06359" w:rsidP="003166DB">
          <w:pPr>
            <w:rPr>
              <w:bCs/>
            </w:rPr>
          </w:pPr>
        </w:p>
        <w:p w:rsidR="00E94ACF" w:rsidRDefault="004E5CDD"/>
      </w:sdtContent>
    </w:sdt>
    <w:p w:rsidR="00E94ACF" w:rsidRDefault="00E94AC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40D6E" w:rsidRDefault="003C2944" w:rsidP="00040D6E">
      <w:pPr>
        <w:rPr>
          <w:sz w:val="28"/>
          <w:szCs w:val="28"/>
        </w:rPr>
      </w:pPr>
      <w:r w:rsidRPr="003C2944">
        <w:rPr>
          <w:b/>
          <w:sz w:val="28"/>
          <w:szCs w:val="28"/>
          <w:u w:val="single"/>
        </w:rPr>
        <w:lastRenderedPageBreak/>
        <w:t>HARNWEGSINFEKTE</w:t>
      </w:r>
      <w:r w:rsidRPr="003C2944">
        <w:rPr>
          <w:b/>
          <w:sz w:val="28"/>
          <w:szCs w:val="28"/>
          <w:u w:val="single"/>
        </w:rPr>
        <w:br/>
      </w:r>
      <w:r w:rsidR="00E94ACF">
        <w:rPr>
          <w:sz w:val="28"/>
          <w:szCs w:val="28"/>
        </w:rPr>
        <w:t>Unkomplizierte, bakterielle, ambulant erworbene Harnwegsinfekte (12/2017)</w:t>
      </w:r>
    </w:p>
    <w:p w:rsidR="00E94ACF" w:rsidRPr="00E94ACF" w:rsidRDefault="004E5CDD" w:rsidP="00040D6E">
      <w:pPr>
        <w:rPr>
          <w:sz w:val="18"/>
          <w:szCs w:val="18"/>
        </w:rPr>
      </w:pPr>
      <w:hyperlink r:id="rId8" w:history="1">
        <w:r w:rsidR="00E94ACF" w:rsidRPr="00E94ACF">
          <w:rPr>
            <w:rStyle w:val="Hyperlink"/>
            <w:sz w:val="18"/>
            <w:szCs w:val="18"/>
          </w:rPr>
          <w:t>https://www.aerzteblatt.de/archiv/195299/Unkomplizierte-bakterielle-ambulant-erworbene-Harnwegsinfektionen</w:t>
        </w:r>
      </w:hyperlink>
    </w:p>
    <w:p w:rsidR="00E94ACF" w:rsidRPr="00E94ACF" w:rsidRDefault="00E94ACF" w:rsidP="00B05904">
      <w:pPr>
        <w:pStyle w:val="Listenabsatz"/>
        <w:numPr>
          <w:ilvl w:val="0"/>
          <w:numId w:val="2"/>
        </w:numPr>
        <w:tabs>
          <w:tab w:val="left" w:pos="2520"/>
          <w:tab w:val="left" w:pos="5760"/>
        </w:tabs>
        <w:rPr>
          <w:sz w:val="24"/>
          <w:szCs w:val="24"/>
        </w:rPr>
      </w:pPr>
      <w:r w:rsidRPr="00B05904">
        <w:rPr>
          <w:b/>
          <w:sz w:val="24"/>
          <w:szCs w:val="24"/>
        </w:rPr>
        <w:t>Unkomplizierte Harnwegsinfektion (</w:t>
      </w:r>
      <w:proofErr w:type="spellStart"/>
      <w:r w:rsidRPr="00B05904">
        <w:rPr>
          <w:b/>
          <w:sz w:val="24"/>
          <w:szCs w:val="24"/>
        </w:rPr>
        <w:t>uHWI</w:t>
      </w:r>
      <w:proofErr w:type="spellEnd"/>
      <w:r w:rsidRPr="00B05904">
        <w:rPr>
          <w:b/>
          <w:sz w:val="24"/>
          <w:szCs w:val="24"/>
        </w:rPr>
        <w:t>)</w:t>
      </w:r>
      <w:r w:rsidR="00B05904">
        <w:rPr>
          <w:sz w:val="24"/>
          <w:szCs w:val="24"/>
        </w:rPr>
        <w:tab/>
      </w:r>
    </w:p>
    <w:p w:rsidR="00E94ACF" w:rsidRPr="00E94ACF" w:rsidRDefault="00E94ACF" w:rsidP="007E0131">
      <w:pPr>
        <w:pStyle w:val="Listenabsatz"/>
        <w:numPr>
          <w:ilvl w:val="0"/>
          <w:numId w:val="2"/>
        </w:numPr>
        <w:tabs>
          <w:tab w:val="left" w:pos="2520"/>
          <w:tab w:val="left" w:pos="5400"/>
        </w:tabs>
        <w:rPr>
          <w:sz w:val="24"/>
          <w:szCs w:val="24"/>
        </w:rPr>
      </w:pPr>
      <w:bookmarkStart w:id="0" w:name="_GoBack"/>
      <w:bookmarkEnd w:id="0"/>
      <w:proofErr w:type="spellStart"/>
      <w:r w:rsidRPr="007E0131">
        <w:rPr>
          <w:b/>
          <w:sz w:val="24"/>
          <w:szCs w:val="24"/>
        </w:rPr>
        <w:t>Urozystitis</w:t>
      </w:r>
      <w:proofErr w:type="spellEnd"/>
      <w:r w:rsidR="007E0131" w:rsidRPr="007E0131">
        <w:rPr>
          <w:b/>
          <w:sz w:val="20"/>
          <w:szCs w:val="20"/>
        </w:rPr>
        <w:t xml:space="preserve"> Beschwerden unterer Harntrakt</w:t>
      </w:r>
      <w:r w:rsidRPr="007E0131">
        <w:rPr>
          <w:b/>
          <w:sz w:val="24"/>
          <w:szCs w:val="24"/>
        </w:rPr>
        <w:br/>
      </w:r>
      <w:proofErr w:type="spellStart"/>
      <w:r w:rsidR="003C2944" w:rsidRPr="000629A5">
        <w:rPr>
          <w:b/>
          <w:sz w:val="24"/>
          <w:szCs w:val="24"/>
        </w:rPr>
        <w:t>Fosfomycin</w:t>
      </w:r>
      <w:proofErr w:type="spellEnd"/>
      <w:r w:rsidR="003C2944" w:rsidRPr="000629A5">
        <w:rPr>
          <w:b/>
          <w:sz w:val="24"/>
          <w:szCs w:val="24"/>
        </w:rPr>
        <w:t xml:space="preserve"> AL</w:t>
      </w:r>
      <w:r w:rsidR="007E0131" w:rsidRPr="000629A5">
        <w:rPr>
          <w:b/>
          <w:sz w:val="24"/>
          <w:szCs w:val="24"/>
        </w:rPr>
        <w:t>®</w:t>
      </w:r>
      <w:r w:rsidR="007E0131" w:rsidRPr="000629A5">
        <w:rPr>
          <w:b/>
          <w:sz w:val="24"/>
          <w:szCs w:val="24"/>
        </w:rPr>
        <w:tab/>
      </w:r>
      <w:proofErr w:type="spellStart"/>
      <w:r w:rsidR="007E0131" w:rsidRPr="000629A5">
        <w:rPr>
          <w:b/>
          <w:sz w:val="24"/>
          <w:szCs w:val="24"/>
        </w:rPr>
        <w:t>Fosfomycin-Trometamol</w:t>
      </w:r>
      <w:proofErr w:type="spellEnd"/>
      <w:r w:rsidR="007E0131" w:rsidRPr="000629A5">
        <w:rPr>
          <w:b/>
          <w:sz w:val="24"/>
          <w:szCs w:val="24"/>
        </w:rPr>
        <w:t xml:space="preserve"> </w:t>
      </w:r>
      <w:r w:rsidR="007E0131" w:rsidRPr="000629A5">
        <w:rPr>
          <w:b/>
          <w:sz w:val="24"/>
          <w:szCs w:val="24"/>
        </w:rPr>
        <w:tab/>
        <w:t>3.000mg 1xtgl.</w:t>
      </w:r>
      <w:r w:rsidR="007E0131" w:rsidRPr="000629A5">
        <w:rPr>
          <w:b/>
          <w:sz w:val="24"/>
          <w:szCs w:val="24"/>
        </w:rPr>
        <w:tab/>
      </w:r>
      <w:r w:rsidR="007E0131" w:rsidRPr="000629A5">
        <w:rPr>
          <w:b/>
          <w:sz w:val="24"/>
          <w:szCs w:val="24"/>
        </w:rPr>
        <w:tab/>
        <w:t>1 Tag</w:t>
      </w:r>
      <w:r w:rsidR="007E0131" w:rsidRPr="000629A5">
        <w:rPr>
          <w:b/>
          <w:sz w:val="24"/>
          <w:szCs w:val="24"/>
        </w:rPr>
        <w:br/>
      </w:r>
      <w:proofErr w:type="spellStart"/>
      <w:r w:rsidR="007E0131" w:rsidRPr="000629A5">
        <w:rPr>
          <w:sz w:val="24"/>
          <w:szCs w:val="24"/>
          <w:highlight w:val="green"/>
        </w:rPr>
        <w:t>Nitrofurantin</w:t>
      </w:r>
      <w:proofErr w:type="spellEnd"/>
      <w:r w:rsidR="007E0131" w:rsidRPr="000629A5">
        <w:rPr>
          <w:sz w:val="24"/>
          <w:szCs w:val="24"/>
          <w:highlight w:val="green"/>
        </w:rPr>
        <w:t>®</w:t>
      </w:r>
      <w:r w:rsidR="007E0131" w:rsidRPr="000629A5">
        <w:rPr>
          <w:sz w:val="24"/>
          <w:szCs w:val="24"/>
          <w:highlight w:val="green"/>
        </w:rPr>
        <w:tab/>
      </w:r>
      <w:proofErr w:type="spellStart"/>
      <w:r w:rsidR="007E0131" w:rsidRPr="000629A5">
        <w:rPr>
          <w:sz w:val="24"/>
          <w:szCs w:val="24"/>
          <w:highlight w:val="green"/>
        </w:rPr>
        <w:t>Nitrofurantoin</w:t>
      </w:r>
      <w:proofErr w:type="spellEnd"/>
      <w:r w:rsidR="007E0131" w:rsidRPr="000629A5">
        <w:rPr>
          <w:sz w:val="24"/>
          <w:szCs w:val="24"/>
          <w:highlight w:val="green"/>
        </w:rPr>
        <w:tab/>
        <w:t>50mg 4xtgl.</w:t>
      </w:r>
      <w:r w:rsidR="007E0131" w:rsidRPr="000629A5">
        <w:rPr>
          <w:sz w:val="24"/>
          <w:szCs w:val="24"/>
          <w:highlight w:val="green"/>
        </w:rPr>
        <w:tab/>
      </w:r>
      <w:r w:rsidR="007E0131" w:rsidRPr="000629A5">
        <w:rPr>
          <w:sz w:val="24"/>
          <w:szCs w:val="24"/>
          <w:highlight w:val="green"/>
        </w:rPr>
        <w:tab/>
        <w:t>7 Tage</w:t>
      </w:r>
      <w:r w:rsidR="007E0131">
        <w:rPr>
          <w:sz w:val="24"/>
          <w:szCs w:val="24"/>
        </w:rPr>
        <w:br/>
      </w:r>
      <w:proofErr w:type="spellStart"/>
      <w:r w:rsidR="007E0131">
        <w:rPr>
          <w:sz w:val="24"/>
          <w:szCs w:val="24"/>
        </w:rPr>
        <w:t>Nitrofurantin</w:t>
      </w:r>
      <w:proofErr w:type="spellEnd"/>
      <w:r w:rsidR="007E0131">
        <w:rPr>
          <w:sz w:val="24"/>
          <w:szCs w:val="24"/>
        </w:rPr>
        <w:t xml:space="preserve"> RT</w:t>
      </w:r>
      <w:r w:rsidR="007E0131">
        <w:rPr>
          <w:sz w:val="24"/>
          <w:szCs w:val="24"/>
        </w:rPr>
        <w:tab/>
      </w:r>
      <w:proofErr w:type="spellStart"/>
      <w:r w:rsidR="007E0131">
        <w:rPr>
          <w:sz w:val="24"/>
          <w:szCs w:val="24"/>
        </w:rPr>
        <w:t>Nitrofurantoin</w:t>
      </w:r>
      <w:proofErr w:type="spellEnd"/>
      <w:r w:rsidR="007E0131">
        <w:rPr>
          <w:sz w:val="24"/>
          <w:szCs w:val="24"/>
        </w:rPr>
        <w:t xml:space="preserve"> </w:t>
      </w:r>
      <w:proofErr w:type="spellStart"/>
      <w:r w:rsidR="007E0131">
        <w:rPr>
          <w:sz w:val="24"/>
          <w:szCs w:val="24"/>
        </w:rPr>
        <w:t>retard</w:t>
      </w:r>
      <w:proofErr w:type="spellEnd"/>
      <w:r w:rsidR="007E0131">
        <w:rPr>
          <w:sz w:val="24"/>
          <w:szCs w:val="24"/>
        </w:rPr>
        <w:tab/>
        <w:t>100mg 2xtgl.</w:t>
      </w:r>
      <w:r w:rsidR="007E0131">
        <w:rPr>
          <w:sz w:val="24"/>
          <w:szCs w:val="24"/>
        </w:rPr>
        <w:tab/>
      </w:r>
      <w:r w:rsidR="007E0131">
        <w:rPr>
          <w:sz w:val="24"/>
          <w:szCs w:val="24"/>
        </w:rPr>
        <w:tab/>
        <w:t>5 Tage</w:t>
      </w:r>
      <w:r w:rsidR="007E0131">
        <w:rPr>
          <w:sz w:val="24"/>
          <w:szCs w:val="24"/>
        </w:rPr>
        <w:br/>
      </w:r>
      <w:proofErr w:type="spellStart"/>
      <w:r w:rsidR="007E0131">
        <w:rPr>
          <w:sz w:val="24"/>
          <w:szCs w:val="24"/>
        </w:rPr>
        <w:t>Nitroxolin</w:t>
      </w:r>
      <w:proofErr w:type="spellEnd"/>
      <w:r w:rsidR="007E0131">
        <w:rPr>
          <w:sz w:val="24"/>
          <w:szCs w:val="24"/>
        </w:rPr>
        <w:t xml:space="preserve"> forte®</w:t>
      </w:r>
      <w:r w:rsidR="007E0131">
        <w:rPr>
          <w:sz w:val="24"/>
          <w:szCs w:val="24"/>
        </w:rPr>
        <w:tab/>
      </w:r>
      <w:proofErr w:type="spellStart"/>
      <w:r w:rsidR="007E0131">
        <w:rPr>
          <w:sz w:val="24"/>
          <w:szCs w:val="24"/>
        </w:rPr>
        <w:t>Nitroxolin</w:t>
      </w:r>
      <w:proofErr w:type="spellEnd"/>
      <w:r w:rsidR="007E0131">
        <w:rPr>
          <w:sz w:val="24"/>
          <w:szCs w:val="24"/>
        </w:rPr>
        <w:tab/>
        <w:t>250mg 3xtgl.</w:t>
      </w:r>
      <w:r w:rsidR="007E0131">
        <w:rPr>
          <w:sz w:val="24"/>
          <w:szCs w:val="24"/>
        </w:rPr>
        <w:tab/>
      </w:r>
      <w:r w:rsidR="007E0131">
        <w:rPr>
          <w:sz w:val="24"/>
          <w:szCs w:val="24"/>
        </w:rPr>
        <w:tab/>
        <w:t>5 Tage</w:t>
      </w:r>
      <w:r w:rsidR="007E0131">
        <w:rPr>
          <w:sz w:val="24"/>
          <w:szCs w:val="24"/>
        </w:rPr>
        <w:br/>
      </w:r>
      <w:proofErr w:type="spellStart"/>
      <w:r w:rsidR="007E0131">
        <w:rPr>
          <w:sz w:val="24"/>
          <w:szCs w:val="24"/>
        </w:rPr>
        <w:t>X.Systo</w:t>
      </w:r>
      <w:proofErr w:type="spellEnd"/>
      <w:r w:rsidR="007E0131">
        <w:rPr>
          <w:sz w:val="24"/>
          <w:szCs w:val="24"/>
        </w:rPr>
        <w:t xml:space="preserve">® </w:t>
      </w:r>
      <w:r w:rsidR="007E0131">
        <w:rPr>
          <w:sz w:val="24"/>
          <w:szCs w:val="24"/>
        </w:rPr>
        <w:tab/>
      </w:r>
      <w:proofErr w:type="spellStart"/>
      <w:r w:rsidR="007E0131">
        <w:rPr>
          <w:sz w:val="24"/>
          <w:szCs w:val="24"/>
        </w:rPr>
        <w:t>Pivmecillinam</w:t>
      </w:r>
      <w:proofErr w:type="spellEnd"/>
      <w:r w:rsidR="007E0131">
        <w:rPr>
          <w:sz w:val="24"/>
          <w:szCs w:val="24"/>
        </w:rPr>
        <w:tab/>
        <w:t>400mg 2-3xtgl.</w:t>
      </w:r>
      <w:r w:rsidR="007E0131">
        <w:rPr>
          <w:sz w:val="24"/>
          <w:szCs w:val="24"/>
        </w:rPr>
        <w:tab/>
      </w:r>
      <w:r w:rsidR="007E0131">
        <w:rPr>
          <w:sz w:val="24"/>
          <w:szCs w:val="24"/>
        </w:rPr>
        <w:tab/>
        <w:t>3 Tage</w:t>
      </w:r>
    </w:p>
    <w:p w:rsidR="00E94ACF" w:rsidRPr="00E94ACF" w:rsidRDefault="00E94ACF" w:rsidP="007E0131">
      <w:pPr>
        <w:pStyle w:val="Listenabsatz"/>
        <w:numPr>
          <w:ilvl w:val="0"/>
          <w:numId w:val="2"/>
        </w:numPr>
        <w:tabs>
          <w:tab w:val="left" w:pos="2520"/>
          <w:tab w:val="left" w:pos="5400"/>
        </w:tabs>
        <w:rPr>
          <w:sz w:val="24"/>
          <w:szCs w:val="24"/>
        </w:rPr>
      </w:pPr>
      <w:proofErr w:type="spellStart"/>
      <w:r w:rsidRPr="008A6F33">
        <w:rPr>
          <w:b/>
          <w:sz w:val="24"/>
          <w:szCs w:val="24"/>
        </w:rPr>
        <w:t>Pyelonephritis</w:t>
      </w:r>
      <w:proofErr w:type="spellEnd"/>
      <w:r w:rsidRPr="008A6F33">
        <w:rPr>
          <w:b/>
          <w:sz w:val="24"/>
          <w:szCs w:val="24"/>
        </w:rPr>
        <w:br/>
      </w:r>
      <w:r w:rsidRPr="00E94ACF">
        <w:rPr>
          <w:sz w:val="20"/>
          <w:szCs w:val="20"/>
        </w:rPr>
        <w:t>Flankenschmerz, Klopfschmerz und/oder Fieber &gt;30°C</w:t>
      </w:r>
      <w:r w:rsidR="007E0131">
        <w:rPr>
          <w:sz w:val="20"/>
          <w:szCs w:val="20"/>
        </w:rPr>
        <w:br/>
      </w:r>
      <w:proofErr w:type="spellStart"/>
      <w:r w:rsidR="007E0131" w:rsidRPr="007E0131">
        <w:rPr>
          <w:sz w:val="24"/>
          <w:szCs w:val="24"/>
        </w:rPr>
        <w:t>Cipro</w:t>
      </w:r>
      <w:r w:rsidR="007E0131">
        <w:rPr>
          <w:sz w:val="24"/>
          <w:szCs w:val="24"/>
        </w:rPr>
        <w:t>HEXAL</w:t>
      </w:r>
      <w:proofErr w:type="spellEnd"/>
      <w:r w:rsidR="007E0131">
        <w:rPr>
          <w:sz w:val="24"/>
          <w:szCs w:val="24"/>
        </w:rPr>
        <w:t>®</w:t>
      </w:r>
      <w:r w:rsidR="007E0131">
        <w:rPr>
          <w:sz w:val="24"/>
          <w:szCs w:val="24"/>
        </w:rPr>
        <w:tab/>
      </w:r>
      <w:proofErr w:type="spellStart"/>
      <w:r w:rsidR="007E0131">
        <w:rPr>
          <w:sz w:val="24"/>
          <w:szCs w:val="24"/>
        </w:rPr>
        <w:t>Cipro</w:t>
      </w:r>
      <w:r w:rsidR="007E0131" w:rsidRPr="007E0131">
        <w:rPr>
          <w:sz w:val="24"/>
          <w:szCs w:val="24"/>
        </w:rPr>
        <w:t>floxacin</w:t>
      </w:r>
      <w:proofErr w:type="spellEnd"/>
      <w:r w:rsidR="007E0131">
        <w:rPr>
          <w:sz w:val="24"/>
          <w:szCs w:val="24"/>
        </w:rPr>
        <w:tab/>
        <w:t>500-750mg 2xtgl.</w:t>
      </w:r>
      <w:r w:rsidR="007E0131">
        <w:rPr>
          <w:sz w:val="24"/>
          <w:szCs w:val="24"/>
        </w:rPr>
        <w:tab/>
        <w:t>7-10 Tage</w:t>
      </w:r>
      <w:r w:rsidR="007E0131">
        <w:rPr>
          <w:sz w:val="24"/>
          <w:szCs w:val="24"/>
        </w:rPr>
        <w:br/>
      </w:r>
      <w:proofErr w:type="spellStart"/>
      <w:r w:rsidR="007E0131">
        <w:rPr>
          <w:sz w:val="24"/>
          <w:szCs w:val="24"/>
        </w:rPr>
        <w:t>Levofloxacin</w:t>
      </w:r>
      <w:proofErr w:type="spellEnd"/>
      <w:r w:rsidR="007E0131">
        <w:rPr>
          <w:sz w:val="24"/>
          <w:szCs w:val="24"/>
        </w:rPr>
        <w:tab/>
      </w:r>
      <w:r w:rsidR="007E0131">
        <w:rPr>
          <w:sz w:val="24"/>
          <w:szCs w:val="24"/>
        </w:rPr>
        <w:tab/>
      </w:r>
      <w:r w:rsidR="008A6F33">
        <w:rPr>
          <w:sz w:val="24"/>
          <w:szCs w:val="24"/>
        </w:rPr>
        <w:t>750mg 1xtgl.</w:t>
      </w:r>
      <w:r w:rsidR="008A6F33">
        <w:rPr>
          <w:sz w:val="24"/>
          <w:szCs w:val="24"/>
        </w:rPr>
        <w:tab/>
      </w:r>
      <w:r w:rsidR="008A6F33">
        <w:rPr>
          <w:sz w:val="24"/>
          <w:szCs w:val="24"/>
        </w:rPr>
        <w:tab/>
        <w:t>5 Tage</w:t>
      </w:r>
      <w:r w:rsidR="008A6F33">
        <w:rPr>
          <w:sz w:val="24"/>
          <w:szCs w:val="24"/>
        </w:rPr>
        <w:br/>
      </w:r>
      <w:proofErr w:type="spellStart"/>
      <w:r w:rsidR="008A6F33">
        <w:rPr>
          <w:sz w:val="24"/>
          <w:szCs w:val="24"/>
        </w:rPr>
        <w:t>Cefpodoxim</w:t>
      </w:r>
      <w:proofErr w:type="spellEnd"/>
      <w:r w:rsidR="008A6F33">
        <w:rPr>
          <w:sz w:val="24"/>
          <w:szCs w:val="24"/>
        </w:rPr>
        <w:t xml:space="preserve"> 1A®</w:t>
      </w:r>
      <w:r w:rsidR="008A6F33">
        <w:rPr>
          <w:sz w:val="24"/>
          <w:szCs w:val="24"/>
        </w:rPr>
        <w:tab/>
      </w:r>
      <w:proofErr w:type="spellStart"/>
      <w:r w:rsidR="008A6F33">
        <w:rPr>
          <w:sz w:val="24"/>
          <w:szCs w:val="24"/>
        </w:rPr>
        <w:t>Cefpodoxim-Proxetil</w:t>
      </w:r>
      <w:proofErr w:type="spellEnd"/>
      <w:r w:rsidR="008A6F33">
        <w:rPr>
          <w:sz w:val="24"/>
          <w:szCs w:val="24"/>
        </w:rPr>
        <w:tab/>
        <w:t>200mg 2xtgl.</w:t>
      </w:r>
      <w:r w:rsidR="008A6F33">
        <w:rPr>
          <w:sz w:val="24"/>
          <w:szCs w:val="24"/>
        </w:rPr>
        <w:tab/>
      </w:r>
      <w:r w:rsidR="008A6F33">
        <w:rPr>
          <w:sz w:val="24"/>
          <w:szCs w:val="24"/>
        </w:rPr>
        <w:tab/>
        <w:t>10 Tage</w:t>
      </w:r>
      <w:r w:rsidR="008A6F33">
        <w:rPr>
          <w:sz w:val="24"/>
          <w:szCs w:val="24"/>
        </w:rPr>
        <w:br/>
      </w:r>
      <w:proofErr w:type="spellStart"/>
      <w:r w:rsidR="008A6F33">
        <w:rPr>
          <w:sz w:val="24"/>
          <w:szCs w:val="24"/>
        </w:rPr>
        <w:t>Keimax</w:t>
      </w:r>
      <w:proofErr w:type="spellEnd"/>
      <w:r w:rsidR="008A6F33">
        <w:rPr>
          <w:sz w:val="24"/>
          <w:szCs w:val="24"/>
        </w:rPr>
        <w:t>®</w:t>
      </w:r>
      <w:r w:rsidR="00720692">
        <w:rPr>
          <w:sz w:val="24"/>
          <w:szCs w:val="24"/>
        </w:rPr>
        <w:t xml:space="preserve"> </w:t>
      </w:r>
      <w:r w:rsidR="00720692" w:rsidRPr="003166DB">
        <w:rPr>
          <w:b/>
          <w:i/>
          <w:sz w:val="16"/>
          <w:szCs w:val="16"/>
          <w:highlight w:val="cyan"/>
        </w:rPr>
        <w:t>privat</w:t>
      </w:r>
      <w:r w:rsidR="008A6F33">
        <w:rPr>
          <w:sz w:val="24"/>
          <w:szCs w:val="24"/>
        </w:rPr>
        <w:tab/>
      </w:r>
      <w:proofErr w:type="spellStart"/>
      <w:r w:rsidR="008A6F33">
        <w:rPr>
          <w:sz w:val="24"/>
          <w:szCs w:val="24"/>
        </w:rPr>
        <w:t>Ceftibuten</w:t>
      </w:r>
      <w:proofErr w:type="spellEnd"/>
      <w:r w:rsidR="008A6F33">
        <w:rPr>
          <w:sz w:val="24"/>
          <w:szCs w:val="24"/>
        </w:rPr>
        <w:tab/>
        <w:t>400mg 1xtgl.</w:t>
      </w:r>
      <w:r w:rsidR="008A6F33">
        <w:rPr>
          <w:sz w:val="24"/>
          <w:szCs w:val="24"/>
        </w:rPr>
        <w:tab/>
      </w:r>
      <w:r w:rsidR="008A6F33">
        <w:rPr>
          <w:sz w:val="24"/>
          <w:szCs w:val="24"/>
        </w:rPr>
        <w:tab/>
        <w:t>10 Tage</w:t>
      </w:r>
    </w:p>
    <w:p w:rsidR="00E94ACF" w:rsidRPr="00E94ACF" w:rsidRDefault="00E94ACF" w:rsidP="00E94ACF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8A6F33">
        <w:rPr>
          <w:b/>
          <w:sz w:val="24"/>
          <w:szCs w:val="24"/>
        </w:rPr>
        <w:t xml:space="preserve">Asymptomatische </w:t>
      </w:r>
      <w:proofErr w:type="spellStart"/>
      <w:r w:rsidRPr="008A6F33">
        <w:rPr>
          <w:b/>
          <w:sz w:val="24"/>
          <w:szCs w:val="24"/>
        </w:rPr>
        <w:t>Bakteriurie</w:t>
      </w:r>
      <w:proofErr w:type="spellEnd"/>
      <w:r w:rsidR="008A6F33" w:rsidRPr="008A6F33">
        <w:rPr>
          <w:b/>
          <w:sz w:val="24"/>
          <w:szCs w:val="24"/>
        </w:rPr>
        <w:br/>
      </w:r>
      <w:r w:rsidR="008A6F33">
        <w:rPr>
          <w:sz w:val="24"/>
          <w:szCs w:val="24"/>
        </w:rPr>
        <w:t xml:space="preserve">Nur in SS und ggf. bei </w:t>
      </w:r>
      <w:proofErr w:type="spellStart"/>
      <w:r w:rsidR="008A6F33">
        <w:rPr>
          <w:sz w:val="24"/>
          <w:szCs w:val="24"/>
        </w:rPr>
        <w:t>urolog</w:t>
      </w:r>
      <w:proofErr w:type="spellEnd"/>
      <w:r w:rsidR="008A6F33">
        <w:rPr>
          <w:sz w:val="24"/>
          <w:szCs w:val="24"/>
        </w:rPr>
        <w:t>./chron. Erkrankungen relevant</w:t>
      </w:r>
      <w:r w:rsidR="008A6F33">
        <w:rPr>
          <w:sz w:val="24"/>
          <w:szCs w:val="24"/>
        </w:rPr>
        <w:br/>
        <w:t xml:space="preserve">SS: </w:t>
      </w:r>
      <w:proofErr w:type="spellStart"/>
      <w:r w:rsidR="008A6F33">
        <w:rPr>
          <w:sz w:val="24"/>
          <w:szCs w:val="24"/>
        </w:rPr>
        <w:t>Uricult</w:t>
      </w:r>
      <w:proofErr w:type="spellEnd"/>
      <w:r w:rsidR="008A6F33">
        <w:rPr>
          <w:sz w:val="24"/>
          <w:szCs w:val="24"/>
        </w:rPr>
        <w:t xml:space="preserve"> und </w:t>
      </w:r>
      <w:proofErr w:type="spellStart"/>
      <w:r w:rsidR="008A6F33">
        <w:rPr>
          <w:sz w:val="24"/>
          <w:szCs w:val="24"/>
        </w:rPr>
        <w:t>Eradikation</w:t>
      </w:r>
      <w:proofErr w:type="spellEnd"/>
    </w:p>
    <w:p w:rsidR="003C2944" w:rsidRPr="003C2944" w:rsidRDefault="00D06359" w:rsidP="003C2944">
      <w:pPr>
        <w:pStyle w:val="Listenabsatz"/>
        <w:numPr>
          <w:ilvl w:val="0"/>
          <w:numId w:val="2"/>
        </w:numPr>
        <w:tabs>
          <w:tab w:val="left" w:pos="3600"/>
        </w:tabs>
        <w:rPr>
          <w:color w:val="0000FF" w:themeColor="hyperlink"/>
          <w:sz w:val="18"/>
          <w:szCs w:val="18"/>
          <w:u w:val="single"/>
        </w:rPr>
      </w:pPr>
      <w:r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4E609A61" wp14:editId="6B0F590C">
            <wp:simplePos x="0" y="0"/>
            <wp:positionH relativeFrom="column">
              <wp:posOffset>3429000</wp:posOffset>
            </wp:positionH>
            <wp:positionV relativeFrom="paragraph">
              <wp:posOffset>1871345</wp:posOffset>
            </wp:positionV>
            <wp:extent cx="1816100" cy="1593215"/>
            <wp:effectExtent l="0" t="0" r="0" b="6985"/>
            <wp:wrapTight wrapText="bothSides">
              <wp:wrapPolygon edited="0">
                <wp:start x="0" y="0"/>
                <wp:lineTo x="0" y="21436"/>
                <wp:lineTo x="21298" y="21436"/>
                <wp:lineTo x="21298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1593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4ACF" w:rsidRPr="008A6F33">
        <w:rPr>
          <w:b/>
          <w:sz w:val="24"/>
          <w:szCs w:val="24"/>
        </w:rPr>
        <w:t>Rezidivierende Harnwegsinfektionen (</w:t>
      </w:r>
      <w:proofErr w:type="spellStart"/>
      <w:r w:rsidR="00E94ACF" w:rsidRPr="008A6F33">
        <w:rPr>
          <w:b/>
          <w:sz w:val="24"/>
          <w:szCs w:val="24"/>
        </w:rPr>
        <w:t>rHWI</w:t>
      </w:r>
      <w:proofErr w:type="spellEnd"/>
      <w:r w:rsidR="00E94ACF" w:rsidRPr="008A6F33">
        <w:rPr>
          <w:b/>
          <w:sz w:val="24"/>
          <w:szCs w:val="24"/>
        </w:rPr>
        <w:t xml:space="preserve">) </w:t>
      </w:r>
      <w:r w:rsidR="00E94ACF" w:rsidRPr="008A6F33">
        <w:rPr>
          <w:b/>
          <w:sz w:val="20"/>
          <w:szCs w:val="20"/>
        </w:rPr>
        <w:t>(</w:t>
      </w:r>
      <w:r w:rsidR="00E94ACF" w:rsidRPr="008A6F33">
        <w:rPr>
          <w:rFonts w:cstheme="minorHAnsi"/>
          <w:b/>
          <w:sz w:val="20"/>
          <w:szCs w:val="20"/>
        </w:rPr>
        <w:t>≥</w:t>
      </w:r>
      <w:r w:rsidR="00E94ACF" w:rsidRPr="008A6F33">
        <w:rPr>
          <w:b/>
          <w:sz w:val="20"/>
          <w:szCs w:val="20"/>
        </w:rPr>
        <w:t>2pro6Mo oder 3pro Jahr)</w:t>
      </w:r>
      <w:r w:rsidR="003C2944">
        <w:rPr>
          <w:b/>
          <w:sz w:val="20"/>
          <w:szCs w:val="20"/>
        </w:rPr>
        <w:br/>
        <w:t xml:space="preserve">-&gt; </w:t>
      </w:r>
      <w:proofErr w:type="spellStart"/>
      <w:r w:rsidR="003C2944">
        <w:rPr>
          <w:b/>
          <w:sz w:val="20"/>
          <w:szCs w:val="20"/>
        </w:rPr>
        <w:t>Uricult</w:t>
      </w:r>
      <w:proofErr w:type="spellEnd"/>
      <w:r w:rsidR="008A6F33" w:rsidRPr="008A6F33">
        <w:rPr>
          <w:b/>
          <w:sz w:val="20"/>
          <w:szCs w:val="20"/>
        </w:rPr>
        <w:br/>
      </w:r>
      <w:r w:rsidR="008A6F33" w:rsidRPr="008A6F33">
        <w:rPr>
          <w:sz w:val="20"/>
          <w:szCs w:val="20"/>
        </w:rPr>
        <w:t>Risikoverhalten: unzureichende Trinkmenge, Unterkühlung, übertriebene Intimhygiene</w:t>
      </w:r>
      <w:r w:rsidR="008A6F33" w:rsidRPr="008A6F33">
        <w:rPr>
          <w:sz w:val="20"/>
          <w:szCs w:val="20"/>
        </w:rPr>
        <w:br/>
      </w:r>
      <w:r w:rsidR="008A6F33" w:rsidRPr="008A6F33">
        <w:rPr>
          <w:sz w:val="24"/>
          <w:szCs w:val="24"/>
        </w:rPr>
        <w:t>Langzeitprävention:</w:t>
      </w:r>
      <w:r w:rsidR="008A6F33">
        <w:rPr>
          <w:sz w:val="24"/>
          <w:szCs w:val="24"/>
        </w:rPr>
        <w:br/>
      </w:r>
      <w:r w:rsidR="008A6F33" w:rsidRPr="00720692">
        <w:rPr>
          <w:sz w:val="24"/>
          <w:szCs w:val="24"/>
          <w:u w:val="single"/>
        </w:rPr>
        <w:t>1. Immunprophylaktikum</w:t>
      </w:r>
      <w:r w:rsidR="008A6F33">
        <w:rPr>
          <w:sz w:val="24"/>
          <w:szCs w:val="24"/>
        </w:rPr>
        <w:t xml:space="preserve"> mit </w:t>
      </w:r>
      <w:proofErr w:type="spellStart"/>
      <w:r w:rsidR="008A6F33">
        <w:rPr>
          <w:sz w:val="24"/>
          <w:szCs w:val="24"/>
        </w:rPr>
        <w:t>E.coli</w:t>
      </w:r>
      <w:proofErr w:type="spellEnd"/>
      <w:r w:rsidR="008A6F33">
        <w:rPr>
          <w:sz w:val="24"/>
          <w:szCs w:val="24"/>
        </w:rPr>
        <w:t xml:space="preserve"> </w:t>
      </w:r>
      <w:proofErr w:type="spellStart"/>
      <w:r w:rsidR="008A6F33">
        <w:rPr>
          <w:sz w:val="24"/>
          <w:szCs w:val="24"/>
        </w:rPr>
        <w:t>Lysat</w:t>
      </w:r>
      <w:proofErr w:type="spellEnd"/>
      <w:r w:rsidR="008A6F33">
        <w:rPr>
          <w:sz w:val="24"/>
          <w:szCs w:val="24"/>
        </w:rPr>
        <w:t xml:space="preserve"> 3 Monate</w:t>
      </w:r>
      <w:r w:rsidR="00720692">
        <w:rPr>
          <w:sz w:val="24"/>
          <w:szCs w:val="24"/>
        </w:rPr>
        <w:t xml:space="preserve"> </w:t>
      </w:r>
      <w:proofErr w:type="spellStart"/>
      <w:r w:rsidR="00720692" w:rsidRPr="00720692">
        <w:rPr>
          <w:b/>
          <w:sz w:val="24"/>
          <w:szCs w:val="24"/>
          <w:u w:val="single"/>
        </w:rPr>
        <w:t>StroVac</w:t>
      </w:r>
      <w:proofErr w:type="spellEnd"/>
      <w:r w:rsidR="00720692" w:rsidRPr="00720692">
        <w:rPr>
          <w:b/>
          <w:sz w:val="24"/>
          <w:szCs w:val="24"/>
          <w:u w:val="single"/>
        </w:rPr>
        <w:t>®</w:t>
      </w:r>
      <w:r w:rsidR="00720692">
        <w:rPr>
          <w:sz w:val="24"/>
          <w:szCs w:val="24"/>
        </w:rPr>
        <w:t xml:space="preserve"> </w:t>
      </w:r>
      <w:r w:rsidR="00720692" w:rsidRPr="003166DB">
        <w:rPr>
          <w:b/>
          <w:i/>
          <w:sz w:val="16"/>
          <w:szCs w:val="16"/>
          <w:highlight w:val="magenta"/>
        </w:rPr>
        <w:t>IGEL</w:t>
      </w:r>
      <w:r w:rsidR="00720692">
        <w:rPr>
          <w:sz w:val="24"/>
          <w:szCs w:val="24"/>
        </w:rPr>
        <w:br/>
        <w:t xml:space="preserve">    3 </w:t>
      </w:r>
      <w:proofErr w:type="spellStart"/>
      <w:r w:rsidR="00720692">
        <w:rPr>
          <w:sz w:val="24"/>
          <w:szCs w:val="24"/>
        </w:rPr>
        <w:t>Inj</w:t>
      </w:r>
      <w:proofErr w:type="spellEnd"/>
      <w:r w:rsidR="00720692">
        <w:rPr>
          <w:sz w:val="24"/>
          <w:szCs w:val="24"/>
        </w:rPr>
        <w:t>. in wöchentlichen Abständen</w:t>
      </w:r>
      <w:r w:rsidR="008A6F33" w:rsidRPr="008A6F33">
        <w:rPr>
          <w:sz w:val="24"/>
          <w:szCs w:val="24"/>
        </w:rPr>
        <w:br/>
      </w:r>
      <w:r w:rsidR="00720692" w:rsidRPr="00720692">
        <w:rPr>
          <w:sz w:val="24"/>
          <w:szCs w:val="24"/>
          <w:u w:val="single"/>
        </w:rPr>
        <w:t>2. Langzeitprophylaxe</w:t>
      </w:r>
      <w:r w:rsidR="00720692">
        <w:rPr>
          <w:sz w:val="24"/>
          <w:szCs w:val="24"/>
        </w:rPr>
        <w:t xml:space="preserve"> (3-6 Monate) z.B. mit</w:t>
      </w:r>
      <w:r w:rsidR="00720692">
        <w:rPr>
          <w:sz w:val="24"/>
          <w:szCs w:val="24"/>
        </w:rPr>
        <w:br/>
      </w:r>
      <w:proofErr w:type="spellStart"/>
      <w:r w:rsidR="00720692">
        <w:rPr>
          <w:sz w:val="24"/>
          <w:szCs w:val="24"/>
        </w:rPr>
        <w:t>Cotrimopxazol</w:t>
      </w:r>
      <w:proofErr w:type="spellEnd"/>
      <w:r w:rsidR="00720692">
        <w:rPr>
          <w:sz w:val="24"/>
          <w:szCs w:val="24"/>
        </w:rPr>
        <w:t xml:space="preserve"> 40/200</w:t>
      </w:r>
      <w:r w:rsidR="00720692">
        <w:rPr>
          <w:sz w:val="24"/>
          <w:szCs w:val="24"/>
        </w:rPr>
        <w:tab/>
        <w:t>1xtgl. Oder 3x/Woche</w:t>
      </w:r>
      <w:r w:rsidR="00720692">
        <w:rPr>
          <w:sz w:val="24"/>
          <w:szCs w:val="24"/>
        </w:rPr>
        <w:br/>
      </w:r>
      <w:proofErr w:type="spellStart"/>
      <w:r w:rsidR="00720692">
        <w:rPr>
          <w:sz w:val="24"/>
          <w:szCs w:val="24"/>
        </w:rPr>
        <w:t>Nitrofurantoin</w:t>
      </w:r>
      <w:proofErr w:type="spellEnd"/>
      <w:r w:rsidR="00720692">
        <w:rPr>
          <w:sz w:val="24"/>
          <w:szCs w:val="24"/>
        </w:rPr>
        <w:tab/>
        <w:t>50-100mg/Tag</w:t>
      </w:r>
      <w:r w:rsidR="00720692">
        <w:rPr>
          <w:sz w:val="24"/>
          <w:szCs w:val="24"/>
        </w:rPr>
        <w:br/>
      </w:r>
      <w:proofErr w:type="spellStart"/>
      <w:r w:rsidR="00720692">
        <w:rPr>
          <w:sz w:val="24"/>
          <w:szCs w:val="24"/>
        </w:rPr>
        <w:t>Cefaclor</w:t>
      </w:r>
      <w:proofErr w:type="spellEnd"/>
      <w:r w:rsidR="00720692">
        <w:rPr>
          <w:sz w:val="24"/>
          <w:szCs w:val="24"/>
        </w:rPr>
        <w:tab/>
        <w:t>125-250mg/Tag</w:t>
      </w:r>
      <w:r w:rsidR="003C2944">
        <w:rPr>
          <w:sz w:val="24"/>
          <w:szCs w:val="24"/>
        </w:rPr>
        <w:br/>
      </w:r>
      <w:proofErr w:type="spellStart"/>
      <w:r w:rsidR="003C2944">
        <w:rPr>
          <w:sz w:val="24"/>
          <w:szCs w:val="24"/>
        </w:rPr>
        <w:t>Fosfomycin</w:t>
      </w:r>
      <w:proofErr w:type="spellEnd"/>
      <w:r w:rsidR="003C2944">
        <w:rPr>
          <w:sz w:val="24"/>
          <w:szCs w:val="24"/>
        </w:rPr>
        <w:t xml:space="preserve"> AL 3.000®</w:t>
      </w:r>
      <w:r w:rsidR="003C2944">
        <w:rPr>
          <w:sz w:val="24"/>
          <w:szCs w:val="24"/>
        </w:rPr>
        <w:tab/>
        <w:t>alle 10 Tage</w:t>
      </w:r>
      <w:r w:rsidR="003C2944">
        <w:rPr>
          <w:sz w:val="24"/>
          <w:szCs w:val="24"/>
        </w:rPr>
        <w:br/>
      </w:r>
      <w:r w:rsidR="003C2944">
        <w:rPr>
          <w:sz w:val="24"/>
          <w:szCs w:val="24"/>
          <w:u w:val="single"/>
        </w:rPr>
        <w:t xml:space="preserve">3. (alternativ) bei </w:t>
      </w:r>
      <w:proofErr w:type="spellStart"/>
      <w:r w:rsidR="003C2944">
        <w:rPr>
          <w:sz w:val="24"/>
          <w:szCs w:val="24"/>
          <w:u w:val="single"/>
        </w:rPr>
        <w:t>entspr</w:t>
      </w:r>
      <w:proofErr w:type="spellEnd"/>
      <w:r w:rsidR="003C2944">
        <w:rPr>
          <w:sz w:val="24"/>
          <w:szCs w:val="24"/>
          <w:u w:val="single"/>
        </w:rPr>
        <w:t xml:space="preserve">. Klinik: </w:t>
      </w:r>
      <w:proofErr w:type="spellStart"/>
      <w:r w:rsidR="003C2944" w:rsidRPr="003C2944">
        <w:rPr>
          <w:sz w:val="24"/>
          <w:szCs w:val="24"/>
          <w:u w:val="single"/>
        </w:rPr>
        <w:t>Postkoitale</w:t>
      </w:r>
      <w:proofErr w:type="spellEnd"/>
      <w:r w:rsidR="003C2944" w:rsidRPr="003C2944">
        <w:rPr>
          <w:sz w:val="24"/>
          <w:szCs w:val="24"/>
          <w:u w:val="single"/>
        </w:rPr>
        <w:t xml:space="preserve"> Einmalprävention</w:t>
      </w:r>
      <w:r w:rsidR="003C2944">
        <w:rPr>
          <w:sz w:val="24"/>
          <w:szCs w:val="24"/>
          <w:u w:val="single"/>
        </w:rPr>
        <w:t>:</w:t>
      </w:r>
      <w:r w:rsidR="003C2944" w:rsidRPr="003C2944">
        <w:rPr>
          <w:sz w:val="24"/>
          <w:szCs w:val="24"/>
          <w:u w:val="single"/>
        </w:rPr>
        <w:br/>
      </w:r>
      <w:proofErr w:type="spellStart"/>
      <w:r w:rsidR="003C2944">
        <w:rPr>
          <w:sz w:val="24"/>
          <w:szCs w:val="24"/>
        </w:rPr>
        <w:t>Cotrimoxazol</w:t>
      </w:r>
      <w:proofErr w:type="spellEnd"/>
      <w:r w:rsidR="003C2944">
        <w:rPr>
          <w:sz w:val="24"/>
          <w:szCs w:val="24"/>
        </w:rPr>
        <w:t xml:space="preserve"> 40/200</w:t>
      </w:r>
      <w:r w:rsidR="003C2944">
        <w:rPr>
          <w:sz w:val="24"/>
          <w:szCs w:val="24"/>
        </w:rPr>
        <w:tab/>
        <w:t>1-2Tbl.</w:t>
      </w:r>
      <w:r w:rsidR="003C2944">
        <w:rPr>
          <w:sz w:val="24"/>
          <w:szCs w:val="24"/>
        </w:rPr>
        <w:br/>
      </w:r>
      <w:proofErr w:type="spellStart"/>
      <w:r w:rsidR="003C2944">
        <w:rPr>
          <w:sz w:val="24"/>
          <w:szCs w:val="24"/>
        </w:rPr>
        <w:t>Nitrofurantoin</w:t>
      </w:r>
      <w:proofErr w:type="spellEnd"/>
      <w:r w:rsidR="003C2944">
        <w:rPr>
          <w:sz w:val="24"/>
          <w:szCs w:val="24"/>
        </w:rPr>
        <w:tab/>
        <w:t>50-100mg</w:t>
      </w:r>
      <w:r w:rsidR="003C2944">
        <w:rPr>
          <w:sz w:val="24"/>
          <w:szCs w:val="24"/>
        </w:rPr>
        <w:br/>
      </w:r>
      <w:proofErr w:type="spellStart"/>
      <w:r w:rsidR="003C2944">
        <w:rPr>
          <w:sz w:val="24"/>
          <w:szCs w:val="24"/>
        </w:rPr>
        <w:t>Ofloxacin</w:t>
      </w:r>
      <w:proofErr w:type="spellEnd"/>
      <w:r w:rsidR="003C2944">
        <w:rPr>
          <w:sz w:val="24"/>
          <w:szCs w:val="24"/>
        </w:rPr>
        <w:t>®</w:t>
      </w:r>
      <w:r w:rsidR="003C2944">
        <w:rPr>
          <w:sz w:val="24"/>
          <w:szCs w:val="24"/>
        </w:rPr>
        <w:tab/>
        <w:t>100mg</w:t>
      </w:r>
    </w:p>
    <w:p w:rsidR="00E94ACF" w:rsidRPr="003C2944" w:rsidRDefault="003C2944" w:rsidP="003C2944">
      <w:pPr>
        <w:pStyle w:val="Listenabsatz"/>
        <w:numPr>
          <w:ilvl w:val="0"/>
          <w:numId w:val="2"/>
        </w:numPr>
        <w:tabs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>Antibiose in der Schwangerschaft</w:t>
      </w:r>
      <w:r>
        <w:rPr>
          <w:sz w:val="24"/>
          <w:szCs w:val="24"/>
        </w:rPr>
        <w:br/>
      </w:r>
      <w:hyperlink r:id="rId10" w:history="1">
        <w:r w:rsidRPr="00BC3720">
          <w:rPr>
            <w:rStyle w:val="Hyperlink"/>
            <w:sz w:val="18"/>
            <w:szCs w:val="18"/>
          </w:rPr>
          <w:t>https://www.urologielehrbuch.de/harnwegsinfektion_schwangerschaft.html</w:t>
        </w:r>
      </w:hyperlink>
      <w:r>
        <w:rPr>
          <w:rStyle w:val="Hyperlink"/>
          <w:sz w:val="18"/>
          <w:szCs w:val="18"/>
        </w:rPr>
        <w:br/>
      </w:r>
      <w:proofErr w:type="spellStart"/>
      <w:r w:rsidR="00D06359" w:rsidRPr="00D06359">
        <w:rPr>
          <w:sz w:val="24"/>
          <w:szCs w:val="24"/>
          <w:u w:val="single"/>
        </w:rPr>
        <w:t>Bakteriurie</w:t>
      </w:r>
      <w:proofErr w:type="spellEnd"/>
      <w:r w:rsidR="00D06359" w:rsidRPr="00D06359">
        <w:rPr>
          <w:sz w:val="24"/>
          <w:szCs w:val="24"/>
          <w:u w:val="single"/>
        </w:rPr>
        <w:t>:</w:t>
      </w:r>
      <w:r w:rsidR="00D06359">
        <w:rPr>
          <w:sz w:val="24"/>
          <w:szCs w:val="24"/>
        </w:rPr>
        <w:t xml:space="preserve"> </w:t>
      </w:r>
      <w:proofErr w:type="spellStart"/>
      <w:r w:rsidR="00D06359">
        <w:rPr>
          <w:sz w:val="24"/>
          <w:szCs w:val="24"/>
        </w:rPr>
        <w:t>Pivmecillinam</w:t>
      </w:r>
      <w:proofErr w:type="spellEnd"/>
      <w:r w:rsidR="00D06359">
        <w:rPr>
          <w:sz w:val="24"/>
          <w:szCs w:val="24"/>
        </w:rPr>
        <w:t xml:space="preserve">, </w:t>
      </w:r>
      <w:proofErr w:type="spellStart"/>
      <w:r w:rsidR="00D06359">
        <w:rPr>
          <w:sz w:val="24"/>
          <w:szCs w:val="24"/>
        </w:rPr>
        <w:t>Amoxicillin</w:t>
      </w:r>
      <w:proofErr w:type="spellEnd"/>
      <w:r w:rsidR="00D06359">
        <w:rPr>
          <w:sz w:val="24"/>
          <w:szCs w:val="24"/>
        </w:rPr>
        <w:t xml:space="preserve"> (evtl. mit </w:t>
      </w:r>
      <w:proofErr w:type="spellStart"/>
      <w:r w:rsidR="00D06359">
        <w:rPr>
          <w:sz w:val="24"/>
          <w:szCs w:val="24"/>
        </w:rPr>
        <w:t>Clavulansäure</w:t>
      </w:r>
      <w:proofErr w:type="spellEnd"/>
      <w:r w:rsidR="00D06359">
        <w:rPr>
          <w:sz w:val="24"/>
          <w:szCs w:val="24"/>
        </w:rPr>
        <w:t xml:space="preserve">), </w:t>
      </w:r>
      <w:proofErr w:type="spellStart"/>
      <w:r w:rsidR="00D06359">
        <w:rPr>
          <w:sz w:val="24"/>
          <w:szCs w:val="24"/>
        </w:rPr>
        <w:t>Cephalosporine</w:t>
      </w:r>
      <w:proofErr w:type="spellEnd"/>
      <w:r w:rsidR="00D06359">
        <w:rPr>
          <w:sz w:val="24"/>
          <w:szCs w:val="24"/>
        </w:rPr>
        <w:t xml:space="preserve">, </w:t>
      </w:r>
      <w:proofErr w:type="spellStart"/>
      <w:r w:rsidR="00D06359">
        <w:rPr>
          <w:sz w:val="24"/>
          <w:szCs w:val="24"/>
        </w:rPr>
        <w:t>Fosfomycin</w:t>
      </w:r>
      <w:proofErr w:type="spellEnd"/>
      <w:r w:rsidR="00D06359">
        <w:rPr>
          <w:sz w:val="24"/>
          <w:szCs w:val="24"/>
        </w:rPr>
        <w:t xml:space="preserve">-Einmalgabe; danach </w:t>
      </w:r>
      <w:proofErr w:type="spellStart"/>
      <w:r w:rsidR="00D06359">
        <w:rPr>
          <w:sz w:val="24"/>
          <w:szCs w:val="24"/>
        </w:rPr>
        <w:t>Eradikationskontrolle</w:t>
      </w:r>
      <w:proofErr w:type="spellEnd"/>
      <w:r w:rsidR="00D06359">
        <w:rPr>
          <w:sz w:val="24"/>
          <w:szCs w:val="24"/>
        </w:rPr>
        <w:t xml:space="preserve"> mit Urinkultur</w:t>
      </w:r>
    </w:p>
    <w:p w:rsidR="003C2944" w:rsidRDefault="00D06359" w:rsidP="00D06359">
      <w:pPr>
        <w:pStyle w:val="Listenabsatz"/>
        <w:tabs>
          <w:tab w:val="left" w:pos="3600"/>
        </w:tabs>
        <w:rPr>
          <w:rStyle w:val="Hyperlink"/>
          <w:color w:val="auto"/>
          <w:sz w:val="18"/>
          <w:szCs w:val="18"/>
          <w:u w:val="none"/>
        </w:rPr>
      </w:pPr>
      <w:r>
        <w:rPr>
          <w:rStyle w:val="Hyperlink"/>
          <w:color w:val="auto"/>
          <w:sz w:val="18"/>
          <w:szCs w:val="18"/>
        </w:rPr>
        <w:t xml:space="preserve">Akute </w:t>
      </w:r>
      <w:proofErr w:type="spellStart"/>
      <w:r>
        <w:rPr>
          <w:rStyle w:val="Hyperlink"/>
          <w:color w:val="auto"/>
          <w:sz w:val="18"/>
          <w:szCs w:val="18"/>
        </w:rPr>
        <w:t>Pyelonephritis</w:t>
      </w:r>
      <w:proofErr w:type="spellEnd"/>
      <w:r>
        <w:rPr>
          <w:rStyle w:val="Hyperlink"/>
          <w:color w:val="auto"/>
          <w:sz w:val="18"/>
          <w:szCs w:val="18"/>
        </w:rPr>
        <w:t xml:space="preserve">: </w:t>
      </w:r>
      <w:proofErr w:type="spellStart"/>
      <w:r w:rsidRPr="00D06359">
        <w:rPr>
          <w:rStyle w:val="Hyperlink"/>
          <w:color w:val="auto"/>
          <w:sz w:val="18"/>
          <w:szCs w:val="18"/>
          <w:u w:val="none"/>
        </w:rPr>
        <w:t>Cefalosporine</w:t>
      </w:r>
      <w:proofErr w:type="spellEnd"/>
      <w:r w:rsidRPr="00D06359">
        <w:rPr>
          <w:rStyle w:val="Hyperlink"/>
          <w:color w:val="auto"/>
          <w:sz w:val="18"/>
          <w:szCs w:val="18"/>
          <w:u w:val="none"/>
        </w:rPr>
        <w:t xml:space="preserve"> 2. Generation (</w:t>
      </w:r>
      <w:proofErr w:type="spellStart"/>
      <w:r w:rsidRPr="00D06359">
        <w:rPr>
          <w:rStyle w:val="Hyperlink"/>
          <w:color w:val="auto"/>
          <w:sz w:val="18"/>
          <w:szCs w:val="18"/>
          <w:u w:val="none"/>
        </w:rPr>
        <w:t>Cefuroxim</w:t>
      </w:r>
      <w:proofErr w:type="spellEnd"/>
      <w:r>
        <w:rPr>
          <w:rStyle w:val="Hyperlink"/>
          <w:color w:val="auto"/>
          <w:sz w:val="18"/>
          <w:szCs w:val="18"/>
          <w:u w:val="none"/>
        </w:rPr>
        <w:t xml:space="preserve"> 1,5g alle 12h; </w:t>
      </w:r>
      <w:proofErr w:type="spellStart"/>
      <w:r>
        <w:rPr>
          <w:rStyle w:val="Hyperlink"/>
          <w:color w:val="auto"/>
          <w:sz w:val="18"/>
          <w:szCs w:val="18"/>
          <w:u w:val="none"/>
        </w:rPr>
        <w:t>Ceftriaxon</w:t>
      </w:r>
      <w:proofErr w:type="spellEnd"/>
      <w:r>
        <w:rPr>
          <w:rStyle w:val="Hyperlink"/>
          <w:color w:val="auto"/>
          <w:sz w:val="18"/>
          <w:szCs w:val="18"/>
          <w:u w:val="none"/>
        </w:rPr>
        <w:t xml:space="preserve"> 1-2g alle 24h; </w:t>
      </w:r>
      <w:proofErr w:type="spellStart"/>
      <w:r>
        <w:rPr>
          <w:rStyle w:val="Hyperlink"/>
          <w:color w:val="auto"/>
          <w:sz w:val="18"/>
          <w:szCs w:val="18"/>
          <w:u w:val="none"/>
        </w:rPr>
        <w:t>Cefotaxim</w:t>
      </w:r>
      <w:proofErr w:type="spellEnd"/>
      <w:r>
        <w:rPr>
          <w:rStyle w:val="Hyperlink"/>
          <w:color w:val="auto"/>
          <w:sz w:val="18"/>
          <w:szCs w:val="18"/>
          <w:u w:val="none"/>
        </w:rPr>
        <w:t xml:space="preserve"> 1-2g alle 12h </w:t>
      </w:r>
      <w:proofErr w:type="spellStart"/>
      <w:r>
        <w:rPr>
          <w:rStyle w:val="Hyperlink"/>
          <w:color w:val="auto"/>
          <w:sz w:val="18"/>
          <w:szCs w:val="18"/>
          <w:u w:val="none"/>
        </w:rPr>
        <w:t>i.v.</w:t>
      </w:r>
      <w:proofErr w:type="spellEnd"/>
      <w:r>
        <w:rPr>
          <w:rStyle w:val="Hyperlink"/>
          <w:color w:val="auto"/>
          <w:sz w:val="18"/>
          <w:szCs w:val="18"/>
          <w:u w:val="none"/>
        </w:rPr>
        <w:t>, also stationär)</w:t>
      </w:r>
    </w:p>
    <w:p w:rsidR="00D06359" w:rsidRDefault="00D06359">
      <w:pPr>
        <w:rPr>
          <w:rStyle w:val="Hyperlink"/>
          <w:color w:val="auto"/>
          <w:sz w:val="18"/>
          <w:szCs w:val="18"/>
        </w:rPr>
      </w:pPr>
    </w:p>
    <w:sectPr w:rsidR="00D06359" w:rsidSect="00040D6E">
      <w:pgSz w:w="11906" w:h="16838"/>
      <w:pgMar w:top="1417" w:right="1417" w:bottom="1134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D4E0A"/>
    <w:multiLevelType w:val="hybridMultilevel"/>
    <w:tmpl w:val="DC1E2A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05008"/>
    <w:multiLevelType w:val="hybridMultilevel"/>
    <w:tmpl w:val="68781E84"/>
    <w:lvl w:ilvl="0" w:tplc="65D4FC44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1E6E42"/>
    <w:multiLevelType w:val="hybridMultilevel"/>
    <w:tmpl w:val="521EC320"/>
    <w:lvl w:ilvl="0" w:tplc="65D4FC44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D6E"/>
    <w:rsid w:val="00040D6E"/>
    <w:rsid w:val="000629A5"/>
    <w:rsid w:val="00277771"/>
    <w:rsid w:val="003166DB"/>
    <w:rsid w:val="003C2944"/>
    <w:rsid w:val="004A75E5"/>
    <w:rsid w:val="004E5CDD"/>
    <w:rsid w:val="00720692"/>
    <w:rsid w:val="007E0131"/>
    <w:rsid w:val="008A6F33"/>
    <w:rsid w:val="00B042EE"/>
    <w:rsid w:val="00B05904"/>
    <w:rsid w:val="00D06359"/>
    <w:rsid w:val="00E31ACC"/>
    <w:rsid w:val="00E9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94A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0D6E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040D6E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040D6E"/>
    <w:rPr>
      <w:rFonts w:eastAsiaTheme="minorEastAsia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0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0D6E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94A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94ACF"/>
    <w:pPr>
      <w:outlineLvl w:val="9"/>
    </w:pPr>
    <w:rPr>
      <w:lang w:eastAsia="de-DE"/>
    </w:rPr>
  </w:style>
  <w:style w:type="character" w:styleId="Hyperlink">
    <w:name w:val="Hyperlink"/>
    <w:basedOn w:val="Absatz-Standardschriftart"/>
    <w:uiPriority w:val="99"/>
    <w:unhideWhenUsed/>
    <w:rsid w:val="00E94A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94A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0D6E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040D6E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040D6E"/>
    <w:rPr>
      <w:rFonts w:eastAsiaTheme="minorEastAsia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0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0D6E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94A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94ACF"/>
    <w:pPr>
      <w:outlineLvl w:val="9"/>
    </w:pPr>
    <w:rPr>
      <w:lang w:eastAsia="de-DE"/>
    </w:rPr>
  </w:style>
  <w:style w:type="character" w:styleId="Hyperlink">
    <w:name w:val="Hyperlink"/>
    <w:basedOn w:val="Absatz-Standardschriftart"/>
    <w:uiPriority w:val="99"/>
    <w:unhideWhenUsed/>
    <w:rsid w:val="00E94A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rzteblatt.de/archiv/195299/Unkomplizierte-bakterielle-ambulant-erworbene-Harnwegsinfektionen" TargetMode="Externa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s://www.urologielehrbuch.de/harnwegsinfektion_schwangerschaft.htm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018"/>
    <w:rsid w:val="00103F49"/>
    <w:rsid w:val="001F75EA"/>
    <w:rsid w:val="0042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67E2FEF585664248A38C13515FE0B683">
    <w:name w:val="67E2FEF585664248A38C13515FE0B683"/>
    <w:rsid w:val="00425018"/>
  </w:style>
  <w:style w:type="paragraph" w:customStyle="1" w:styleId="35267C1BF0984B24A8CDDC6D3AA029D2">
    <w:name w:val="35267C1BF0984B24A8CDDC6D3AA029D2"/>
    <w:rsid w:val="00425018"/>
  </w:style>
  <w:style w:type="paragraph" w:customStyle="1" w:styleId="3CF64FDEAB204A62AF5870FB69901E28">
    <w:name w:val="3CF64FDEAB204A62AF5870FB69901E28"/>
    <w:rsid w:val="00425018"/>
  </w:style>
  <w:style w:type="paragraph" w:customStyle="1" w:styleId="3603F7F763CD43678ABD62A2A77447F6">
    <w:name w:val="3603F7F763CD43678ABD62A2A77447F6"/>
    <w:rsid w:val="0042501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67E2FEF585664248A38C13515FE0B683">
    <w:name w:val="67E2FEF585664248A38C13515FE0B683"/>
    <w:rsid w:val="00425018"/>
  </w:style>
  <w:style w:type="paragraph" w:customStyle="1" w:styleId="35267C1BF0984B24A8CDDC6D3AA029D2">
    <w:name w:val="35267C1BF0984B24A8CDDC6D3AA029D2"/>
    <w:rsid w:val="00425018"/>
  </w:style>
  <w:style w:type="paragraph" w:customStyle="1" w:styleId="3CF64FDEAB204A62AF5870FB69901E28">
    <w:name w:val="3CF64FDEAB204A62AF5870FB69901E28"/>
    <w:rsid w:val="00425018"/>
  </w:style>
  <w:style w:type="paragraph" w:customStyle="1" w:styleId="3603F7F763CD43678ABD62A2A77447F6">
    <w:name w:val="3603F7F763CD43678ABD62A2A77447F6"/>
    <w:rsid w:val="004250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449D62-576A-4086-B433-C188F3F7E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364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VADEMEKUM</vt:lpstr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VADEMEKUM</dc:title>
  <dc:subject>Praxisklinik-Kleve Manual</dc:subject>
  <dc:creator>Windows-Benutzer</dc:creator>
  <cp:lastModifiedBy>Windows-Benutzer</cp:lastModifiedBy>
  <cp:revision>2</cp:revision>
  <dcterms:created xsi:type="dcterms:W3CDTF">2018-03-15T11:43:00Z</dcterms:created>
  <dcterms:modified xsi:type="dcterms:W3CDTF">2018-03-15T11:43:00Z</dcterms:modified>
</cp:coreProperties>
</file>